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Töreboda kommunfullmäktige</w:t>
      </w:r>
    </w:p>
    <w:p>
      <w:pPr>
        <w:pStyle w:val="Heading1"/>
      </w:pPr>
      <w:r>
        <w:t xml:space="preserve">Införa läromedelsgaranti i Töreboda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Töreboda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Töreboda kommuns meritvärde årskurs 9 ligger på 225 poäng jämfört med rikssnittet 245 (Kolada 2024). Många elever saknar aktuella läromedel, särskilt i svenska och matematik. En läromedelsgaranti säkerställer att varje elev har tillgång till uppdaterade böcker och digitala verktyg senast höstterminen 2027.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Töreboda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läromedelsgaranti i alla kommunala grundskolor från och med läsåret 2027/2028.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utbildningsnämnden får i uppdrag att ta fram riktlinjer för garanterad tillgång till både tryckta och digitala läromedel.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 för läromedel ökas med 1,2 mnkr per år från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årligen via Kolada-indikatorer och redovisas i nämndens verksamhetsberättelse.</w:t>
      </w:r>
    </w:p>
    <w:p>
      <w:pPr>
        <w:spacing w:before="360"/>
      </w:pPr>
    </w:p>
    <w:p>
      <w:r>
        <w:t xml:space="preserve">Töreboda,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Töreboda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2026-07-14T05:28:12.412Z</dcterms:created>
  <dcterms:modified xsi:type="dcterms:W3CDTF">2026-07-14T05:28:12.412Z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